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59" w:rsidRDefault="008F14EC">
      <w:pPr>
        <w:pStyle w:val="Title"/>
        <w:rPr>
          <w:sz w:val="28"/>
          <w:szCs w:val="28"/>
        </w:rPr>
      </w:pPr>
      <w:r>
        <w:rPr>
          <w:sz w:val="28"/>
          <w:szCs w:val="28"/>
        </w:rPr>
        <w:t>Base Year Ozone SIP Point Source Inventory</w:t>
      </w:r>
    </w:p>
    <w:p w:rsidR="00A90959" w:rsidRDefault="00A90959"/>
    <w:p w:rsidR="00A90959" w:rsidRDefault="00A90959"/>
    <w:p w:rsidR="00A90959" w:rsidRDefault="008F14EC">
      <w:r>
        <w:t>The Ozone SIP requires a base year point source inventory as a building block for the SIP. The base year inventory selected for this evaluation was the 2017 inventory.</w:t>
      </w:r>
    </w:p>
    <w:p w:rsidR="00A90959" w:rsidRDefault="00A90959"/>
    <w:p w:rsidR="00A90959" w:rsidRDefault="008F14EC">
      <w:r>
        <w:t>As with all inventories collected for this analysis, the pollutants included PM</w:t>
      </w:r>
      <w:r>
        <w:rPr>
          <w:vertAlign w:val="subscript"/>
        </w:rPr>
        <w:t>10</w:t>
      </w:r>
      <w:r>
        <w:t>, PM</w:t>
      </w:r>
      <w:r>
        <w:rPr>
          <w:vertAlign w:val="subscript"/>
        </w:rPr>
        <w:t>2.5</w:t>
      </w:r>
      <w:r>
        <w:t>, NO</w:t>
      </w:r>
      <w:r>
        <w:rPr>
          <w:vertAlign w:val="subscript"/>
        </w:rPr>
        <w:t>X</w:t>
      </w:r>
      <w:r>
        <w:t>, SO</w:t>
      </w:r>
      <w:r>
        <w:rPr>
          <w:vertAlign w:val="subscript"/>
        </w:rPr>
        <w:t>2</w:t>
      </w:r>
      <w:r>
        <w:t>, VOC, CO, and NH3 and the unit of measurement was tons per year (</w:t>
      </w:r>
      <w:proofErr w:type="spellStart"/>
      <w:r>
        <w:t>tpy</w:t>
      </w:r>
      <w:proofErr w:type="spellEnd"/>
      <w:r>
        <w:t>). Once the inventory was completed, a pre-processor called SMOKE converted it to a 24-hour period.</w:t>
      </w:r>
    </w:p>
    <w:p w:rsidR="00A90959" w:rsidRDefault="00A90959"/>
    <w:p w:rsidR="00A90959" w:rsidRDefault="008F14EC">
      <w:pPr>
        <w:rPr>
          <w:b/>
        </w:rPr>
      </w:pPr>
      <w:r>
        <w:rPr>
          <w:b/>
        </w:rPr>
        <w:t>Source Selection:</w:t>
      </w:r>
    </w:p>
    <w:p w:rsidR="00A90959" w:rsidRDefault="00A90959"/>
    <w:p w:rsidR="00A90959" w:rsidRDefault="008F14EC">
      <w:r>
        <w:t>At the beginning of this ozone SIP, the 2017 triennial inventory was the latest and most current inventory available for point sources, which included all major sources, Title V sources, and any sources included in the PM</w:t>
      </w:r>
      <w:r>
        <w:rPr>
          <w:vertAlign w:val="subscript"/>
        </w:rPr>
        <w:t>10</w:t>
      </w:r>
      <w:r>
        <w:t xml:space="preserve"> or ozone maintenance plans. Staff used the definition of a Type B Source under Title V of the Clean Air Act (as specified in 40 CFR Appendix A to Subpart A of Part 51) to define point source thresholds in the nonattainment areas. The provided inventory includes all Type B sources of NO</w:t>
      </w:r>
      <w:r>
        <w:rPr>
          <w:vertAlign w:val="subscript"/>
        </w:rPr>
        <w:t>X</w:t>
      </w:r>
      <w:r>
        <w:t>, VOC, and CO in the non-attainment area</w:t>
      </w:r>
      <w:r w:rsidR="002016BC">
        <w:t xml:space="preserve"> that have the potential to emit 100 </w:t>
      </w:r>
      <w:proofErr w:type="spellStart"/>
      <w:r w:rsidR="002016BC">
        <w:t>tpy</w:t>
      </w:r>
      <w:proofErr w:type="spellEnd"/>
      <w:r w:rsidR="002016BC">
        <w:t xml:space="preserve"> NO</w:t>
      </w:r>
      <w:r w:rsidR="002016BC">
        <w:rPr>
          <w:vertAlign w:val="subscript"/>
        </w:rPr>
        <w:t>X</w:t>
      </w:r>
      <w:r w:rsidR="002016BC">
        <w:t xml:space="preserve"> or </w:t>
      </w:r>
      <w:proofErr w:type="gramStart"/>
      <w:r w:rsidR="002016BC">
        <w:t xml:space="preserve">VOC </w:t>
      </w:r>
      <w:r>
        <w:t>.</w:t>
      </w:r>
      <w:proofErr w:type="gramEnd"/>
      <w:r>
        <w:t xml:space="preserve"> Emissions from sources under the Type B thresholds are included in the area source base year inventory, as they do not have large enough potential emissions to qualify for the point source base year inventory.</w:t>
      </w:r>
    </w:p>
    <w:p w:rsidR="00A90959" w:rsidRDefault="00A90959"/>
    <w:p w:rsidR="00A90959" w:rsidRDefault="008F14EC">
      <w:pPr>
        <w:sectPr w:rsidR="00A90959">
          <w:footerReference w:type="default" r:id="rId6"/>
          <w:pgSz w:w="12240" w:h="15840"/>
          <w:pgMar w:top="1440" w:right="1800" w:bottom="1440" w:left="1800" w:header="720" w:footer="720" w:gutter="0"/>
          <w:pgNumType w:start="1"/>
          <w:cols w:space="720" w:equalWidth="0">
            <w:col w:w="9360"/>
          </w:cols>
        </w:sectPr>
      </w:pPr>
      <w:r>
        <w:t>According to the above definition, Utah had 5</w:t>
      </w:r>
      <w:r w:rsidR="00146F06">
        <w:t>3</w:t>
      </w:r>
      <w:r>
        <w:t xml:space="preserve"> Type B Sources as of 2017 based on the facilities’ potential to emit in their Approval Orders. Table 1 lists the 5</w:t>
      </w:r>
      <w:r w:rsidR="008D683D">
        <w:t>3</w:t>
      </w:r>
      <w:bookmarkStart w:id="0" w:name="_GoBack"/>
      <w:bookmarkEnd w:id="0"/>
      <w:r>
        <w:t xml:space="preserve"> Type B Sources along with their 2017 actual emissions for PM</w:t>
      </w:r>
      <w:r>
        <w:rPr>
          <w:vertAlign w:val="subscript"/>
        </w:rPr>
        <w:t>10</w:t>
      </w:r>
      <w:r>
        <w:t>, PM</w:t>
      </w:r>
      <w:r>
        <w:rPr>
          <w:vertAlign w:val="subscript"/>
        </w:rPr>
        <w:t>2.5</w:t>
      </w:r>
      <w:r>
        <w:t>, SO</w:t>
      </w:r>
      <w:r>
        <w:rPr>
          <w:vertAlign w:val="subscript"/>
        </w:rPr>
        <w:t>2</w:t>
      </w:r>
      <w:r>
        <w:t>, NO</w:t>
      </w:r>
      <w:r>
        <w:rPr>
          <w:vertAlign w:val="subscript"/>
        </w:rPr>
        <w:t>X</w:t>
      </w:r>
      <w:r>
        <w:t>, VOC, CO and NH</w:t>
      </w:r>
      <w:r>
        <w:rPr>
          <w:vertAlign w:val="subscript"/>
        </w:rPr>
        <w:t>3</w:t>
      </w:r>
      <w:r>
        <w:t>.</w:t>
      </w:r>
    </w:p>
    <w:p w:rsidR="00A90959" w:rsidRDefault="008F14EC">
      <w:pPr>
        <w:rPr>
          <w:b/>
          <w:color w:val="000000"/>
          <w:sz w:val="20"/>
          <w:szCs w:val="20"/>
        </w:rPr>
      </w:pPr>
      <w:r>
        <w:rPr>
          <w:b/>
          <w:color w:val="000000"/>
          <w:sz w:val="20"/>
          <w:szCs w:val="20"/>
        </w:rPr>
        <w:lastRenderedPageBreak/>
        <w:t>Table 1.</w:t>
      </w:r>
      <w:r w:rsidR="002016BC">
        <w:rPr>
          <w:b/>
          <w:color w:val="000000"/>
          <w:sz w:val="20"/>
          <w:szCs w:val="20"/>
        </w:rPr>
        <w:t xml:space="preserve"> </w:t>
      </w:r>
      <w:r>
        <w:rPr>
          <w:b/>
          <w:color w:val="000000"/>
          <w:sz w:val="20"/>
          <w:szCs w:val="20"/>
        </w:rPr>
        <w:t>Major Point Sources with 2017 Base Year Emissions</w:t>
      </w:r>
      <w:r w:rsidR="00BD3E8A">
        <w:rPr>
          <w:b/>
          <w:color w:val="000000"/>
          <w:sz w:val="20"/>
          <w:szCs w:val="20"/>
        </w:rPr>
        <w:t xml:space="preserve"> in tons per year (</w:t>
      </w:r>
      <w:proofErr w:type="spellStart"/>
      <w:r w:rsidR="00BD3E8A">
        <w:rPr>
          <w:b/>
          <w:color w:val="000000"/>
          <w:sz w:val="20"/>
          <w:szCs w:val="20"/>
        </w:rPr>
        <w:t>tpy</w:t>
      </w:r>
      <w:proofErr w:type="spellEnd"/>
      <w:r w:rsidR="00BD3E8A">
        <w:rPr>
          <w:b/>
          <w:color w:val="000000"/>
          <w:sz w:val="20"/>
          <w:szCs w:val="20"/>
        </w:rPr>
        <w:t>)</w:t>
      </w:r>
    </w:p>
    <w:p w:rsidR="00A90959" w:rsidRDefault="00A90959">
      <w:pPr>
        <w:rPr>
          <w:color w:val="0070C0"/>
        </w:rPr>
      </w:pPr>
    </w:p>
    <w:p w:rsidR="00A90959" w:rsidRDefault="00A77BFD">
      <w:pPr>
        <w:rPr>
          <w:b/>
          <w:color w:val="0070C0"/>
        </w:rPr>
      </w:pPr>
      <w:r w:rsidRPr="00A77BFD">
        <w:rPr>
          <w:noProof/>
        </w:rPr>
        <w:drawing>
          <wp:inline distT="0" distB="0" distL="0" distR="0">
            <wp:extent cx="5943600" cy="47944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94461"/>
                    </a:xfrm>
                    <a:prstGeom prst="rect">
                      <a:avLst/>
                    </a:prstGeom>
                    <a:noFill/>
                    <a:ln>
                      <a:noFill/>
                    </a:ln>
                  </pic:spPr>
                </pic:pic>
              </a:graphicData>
            </a:graphic>
          </wp:inline>
        </w:drawing>
      </w:r>
    </w:p>
    <w:p w:rsidR="00DA3489" w:rsidRDefault="00DA3489">
      <w:pPr>
        <w:rPr>
          <w:b/>
          <w:color w:val="0070C0"/>
        </w:rPr>
      </w:pPr>
    </w:p>
    <w:p w:rsidR="00DA3489" w:rsidRDefault="00DA3489">
      <w:pPr>
        <w:rPr>
          <w:b/>
          <w:color w:val="0070C0"/>
        </w:rPr>
      </w:pPr>
    </w:p>
    <w:p w:rsidR="00DA3489" w:rsidRDefault="00A77BFD">
      <w:pPr>
        <w:rPr>
          <w:b/>
          <w:color w:val="0070C0"/>
        </w:rPr>
        <w:sectPr w:rsidR="00DA3489">
          <w:pgSz w:w="12240" w:h="15840"/>
          <w:pgMar w:top="1440" w:right="1080" w:bottom="1440" w:left="1080" w:header="720" w:footer="720" w:gutter="0"/>
          <w:cols w:space="720" w:equalWidth="0">
            <w:col w:w="9360"/>
          </w:cols>
        </w:sectPr>
      </w:pPr>
      <w:r w:rsidRPr="00A77BFD">
        <w:rPr>
          <w:noProof/>
        </w:rPr>
        <w:lastRenderedPageBreak/>
        <w:drawing>
          <wp:inline distT="0" distB="0" distL="0" distR="0">
            <wp:extent cx="5943600" cy="514024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0241"/>
                    </a:xfrm>
                    <a:prstGeom prst="rect">
                      <a:avLst/>
                    </a:prstGeom>
                    <a:noFill/>
                    <a:ln>
                      <a:noFill/>
                    </a:ln>
                  </pic:spPr>
                </pic:pic>
              </a:graphicData>
            </a:graphic>
          </wp:inline>
        </w:drawing>
      </w:r>
    </w:p>
    <w:p w:rsidR="00A90959" w:rsidRDefault="008F14EC">
      <w:pPr>
        <w:pStyle w:val="Heading2"/>
      </w:pPr>
      <w:r>
        <w:lastRenderedPageBreak/>
        <w:t>Data Collection and QA/QC</w:t>
      </w:r>
    </w:p>
    <w:p w:rsidR="00A90959" w:rsidRDefault="00A90959"/>
    <w:p w:rsidR="00A90959" w:rsidRDefault="008F14EC">
      <w:r>
        <w:t>UDAQ manages point source emissions inventory data with the online platform State and Local Emissions Inventory System (SLEIS). SLEIS utilizes extensive built-in computing capabilities which standardize calculations. SLEIS also contains extensive QA/QC which guides point sources as they submit their data, greatly reducing oversight required by UDAQ staff. The submitted emissions inventories were thoroughly reviewed using additional QA/QC by UDAQ staff before being finalized. Each facility’s submission is reviewed and compared against previous inventories and the corresponding permit to ensure all equipment is captured in the inventory and that calculation methods remain sound and consistent. This QA/QC process greatly surpasses EPA guidance requiring 10% QA/QC as the minimum criteria necessary for a SIP inventory.</w:t>
      </w:r>
    </w:p>
    <w:sectPr w:rsidR="00A90959">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0A" w:rsidRDefault="00D5420A">
      <w:r>
        <w:separator/>
      </w:r>
    </w:p>
  </w:endnote>
  <w:endnote w:type="continuationSeparator" w:id="0">
    <w:p w:rsidR="00D5420A" w:rsidRDefault="00D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59" w:rsidRDefault="009E07D2">
    <w:pPr>
      <w:pBdr>
        <w:top w:val="nil"/>
        <w:left w:val="nil"/>
        <w:bottom w:val="nil"/>
        <w:right w:val="nil"/>
        <w:between w:val="nil"/>
      </w:pBdr>
      <w:tabs>
        <w:tab w:val="center" w:pos="4320"/>
        <w:tab w:val="right" w:pos="8640"/>
      </w:tabs>
      <w:rPr>
        <w:color w:val="000000"/>
      </w:rPr>
    </w:pPr>
    <w:r>
      <w:rPr>
        <w:color w:val="000000"/>
      </w:rPr>
      <w:t>May 26</w:t>
    </w:r>
    <w:r w:rsidR="008F14EC">
      <w:rPr>
        <w:color w:val="00000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0A" w:rsidRDefault="00D5420A">
      <w:r>
        <w:separator/>
      </w:r>
    </w:p>
  </w:footnote>
  <w:footnote w:type="continuationSeparator" w:id="0">
    <w:p w:rsidR="00D5420A" w:rsidRDefault="00D5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59"/>
    <w:rsid w:val="00146F06"/>
    <w:rsid w:val="002016BC"/>
    <w:rsid w:val="0029780D"/>
    <w:rsid w:val="002D4C0A"/>
    <w:rsid w:val="007B475F"/>
    <w:rsid w:val="008C7792"/>
    <w:rsid w:val="008D683D"/>
    <w:rsid w:val="008F14EC"/>
    <w:rsid w:val="00936238"/>
    <w:rsid w:val="009E07D2"/>
    <w:rsid w:val="00A77BFD"/>
    <w:rsid w:val="00A90959"/>
    <w:rsid w:val="00B748E7"/>
    <w:rsid w:val="00BD3E8A"/>
    <w:rsid w:val="00D5420A"/>
    <w:rsid w:val="00DA3489"/>
    <w:rsid w:val="00F5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DFFF"/>
  <w15:docId w15:val="{0E9C3D17-46A3-4BC5-84A7-91441375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07D2"/>
    <w:pPr>
      <w:tabs>
        <w:tab w:val="center" w:pos="4680"/>
        <w:tab w:val="right" w:pos="9360"/>
      </w:tabs>
    </w:pPr>
  </w:style>
  <w:style w:type="character" w:customStyle="1" w:styleId="HeaderChar">
    <w:name w:val="Header Char"/>
    <w:basedOn w:val="DefaultParagraphFont"/>
    <w:link w:val="Header"/>
    <w:uiPriority w:val="99"/>
    <w:rsid w:val="009E07D2"/>
  </w:style>
  <w:style w:type="paragraph" w:styleId="Footer">
    <w:name w:val="footer"/>
    <w:basedOn w:val="Normal"/>
    <w:link w:val="FooterChar"/>
    <w:uiPriority w:val="99"/>
    <w:unhideWhenUsed/>
    <w:rsid w:val="009E07D2"/>
    <w:pPr>
      <w:tabs>
        <w:tab w:val="center" w:pos="4680"/>
        <w:tab w:val="right" w:pos="9360"/>
      </w:tabs>
    </w:pPr>
  </w:style>
  <w:style w:type="character" w:customStyle="1" w:styleId="FooterChar">
    <w:name w:val="Footer Char"/>
    <w:basedOn w:val="DefaultParagraphFont"/>
    <w:link w:val="Footer"/>
    <w:uiPriority w:val="99"/>
    <w:rsid w:val="009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Youatt</dc:creator>
  <cp:lastModifiedBy>Becky Close</cp:lastModifiedBy>
  <cp:revision>3</cp:revision>
  <dcterms:created xsi:type="dcterms:W3CDTF">2020-05-26T21:27:00Z</dcterms:created>
  <dcterms:modified xsi:type="dcterms:W3CDTF">2020-06-11T20:01:00Z</dcterms:modified>
</cp:coreProperties>
</file>